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prawna influencera czyli czy twórca internetowy może odpowiadać prawnie?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rozwój działalności internetowej. Popularni influencerzy mogą jednak popaść w duże tarapaty.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Zawód naszych czasów?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Influerncer to współcześnie jeden z najbardziej dochodowych zawodów. Profesji - to nie stwierdzenie na wyrost. Pochłania bowiem mnóstwo czasu, a twórca zaangażowany w projekty reklamowe musi odznaczać się dużą dyspozycyjnością i doskonałymi umiejętnościami lawirowania w mediach społecznościowych. Niestety, nie zawsze ich działania spotykają się z aprobatą, a nierzadko wiąże się z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odpowiedzialnością prawną influencera</w:t>
      </w:r>
      <w:r>
        <w:rPr>
          <w:rFonts w:ascii="calibri" w:hAnsi="calibri" w:eastAsia="calibri" w:cs="calibri"/>
          <w:sz w:val="24"/>
          <w:szCs w:val="24"/>
        </w:rPr>
        <w:t xml:space="preserve">. Najczęściej, młodzi i niedoświadczeni twórcy chętnie wchodzą w interakcje co rzadko powoduje pozytywne skutki. Na czym one polegają i jakie regulacje o nich decydują?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funkcjonująca w sieci i zbierająca duże zasięgi fanów jest zazwyczaj personą bardzo odważną i o wyrazistym charakterze. Dzięki temu zyskuje przychylność followerów i buduje ogromne grono fanów sprzyjających (bądź wyrażających krytykę). Ich opinia związana jest zwykle z bardzo dużym odzewem, a niejednokrotnie - burzą medialną. Influencer może popaść w tarapaty jeśli wyrażając opinię, podżega do nienawiści w myśl art. 18par. 2 KK który stanowi, że jeśli ktoś zachęca do czynu karanego, zasługuje na karę. Należy więc taką sytuację interpretować w sposób następujący: jeśli osoba publiczna (jaką niewątpliwie jest influencer) zachęca do negatywnego komentowania np. profilu lub osoby, musi zdawać sobie sprawę z konsekwencji swoich czynów.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Odpowiedzialność prawna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stanowić podstawę prawną do ukarania za zniesławienie lub znieważenie innej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2025-11-30T14:57:21+01:00</dcterms:created>
  <dcterms:modified xsi:type="dcterms:W3CDTF">2025-11-30T14:57:21+01:00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