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Społeczna odpowiedzialność influencera - na czym polega?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Publikując w sieci, powinieneś wiedzieć, że działanie osób publicznych wymaga znacznie większej odpowiedzialności.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Influencer - o czym musi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Youtuberzy, blogerzy i instagramerzy, którzy swoimi zasięgami budują duże społeczności, kreują swoją markę w oparciu o siłę swojego charakteru i osobowości. Niewybredne komentarze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influencerów</w:t>
      </w:r>
      <w:r>
        <w:rPr>
          <w:rFonts w:ascii="calibri" w:hAnsi="calibri" w:eastAsia="calibri" w:cs="calibri"/>
          <w:sz w:val="24"/>
          <w:szCs w:val="24"/>
        </w:rPr>
        <w:t xml:space="preserve">, zwykle, cyniczne i pełne jadu, pozwalają zdobyć zasięgi i, co staje się ciemną stroną tego biznesu, mogą nawoływać do przestępstw. Twórcy internetowi, mimo, że, niezwykle często - nieświadomi, mogą być pociągnięci do odpowiedzialności karnej.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Społeczna odpowiedzialność influencera a case Lorda Kruszwila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Głośna sprawa młodego twórcy internetowego, Marka Kruszela, czyli popularnego Lorda Kruszwila, związana z nawoływaniem nieletnich do czynów naruszających cielesność kobiet, wywołała w świecie Internetu ogromną burzę. Jeden z klipów osiemnastolatka składał się ze zdjęć nagranych na jednym z deptaków, na których youtuber nawołuje młodego chłopaka do dotykania kobiet w miejscach intymnych. Na podstawie tego zdarzenia, warto rozważyć, jaką, </w:t>
      </w:r>
      <w:r>
        <w:rPr>
          <w:rFonts w:ascii="calibri" w:hAnsi="calibri" w:eastAsia="calibri" w:cs="calibri"/>
          <w:sz w:val="24"/>
          <w:szCs w:val="24"/>
          <w:b/>
        </w:rPr>
        <w:t xml:space="preserve">społeczną odpowiedzialnością influencera</w:t>
      </w:r>
      <w:r>
        <w:rPr>
          <w:rFonts w:ascii="calibri" w:hAnsi="calibri" w:eastAsia="calibri" w:cs="calibri"/>
          <w:sz w:val="24"/>
          <w:szCs w:val="24"/>
        </w:rPr>
        <w:t xml:space="preserve"> dysponują tacy twórcy.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Publikuj odpowiedzialnie!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polskim prawem osoby, które podżegają inną osobę prawną do przestępstwa, podlegają karze. W przypadku Kruszwila i innych twórców, którzy podburzają swoją społeczność do czynów bezprawnych, obowiązująca staje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społeczna odpowiedzialność influencera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Kodeks karny jest w tym temacie jednoznaczny więc warto sprawdzić swoje treści przez publikacją, by nie spowodowały burzy - medialnej, ale i prawnej. Jeśli chcesz poznać szczegóły, koniecznie zapoznaj się z wpisem na blogu serwisu Czyścimy Internet.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zyscimyinternet.pl/influencerze-badz-odpowiedzialny-za-slow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2026-08-26T14:01:17+02:00</dcterms:created>
  <dcterms:modified xsi:type="dcterms:W3CDTF">2026-08-26T14:01:17+02:00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